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jc w:val="both"/>
        <w:rPr>
          <w:rFonts w:ascii="Arial" w:cs="Arial" w:eastAsia="Arial" w:hAnsi="Arial"/>
          <w:sz w:val="25"/>
          <w:szCs w:val="25"/>
        </w:rPr>
      </w:pPr>
      <w:r w:rsidDel="00000000" w:rsidR="00000000" w:rsidRPr="00000000">
        <w:rPr>
          <w:rFonts w:ascii="Arial" w:cs="Arial" w:eastAsia="Arial" w:hAnsi="Arial"/>
          <w:color w:val="000000"/>
          <w:sz w:val="25"/>
          <w:szCs w:val="25"/>
          <w:rtl w:val="0"/>
        </w:rPr>
        <w:t xml:space="preserve">Bucaramanga</w:t>
      </w:r>
      <w:r w:rsidDel="00000000" w:rsidR="00000000" w:rsidRPr="00000000">
        <w:rPr>
          <w:rFonts w:ascii="Arial" w:cs="Arial" w:eastAsia="Arial" w:hAnsi="Arial"/>
          <w:sz w:val="25"/>
          <w:szCs w:val="25"/>
          <w:rtl w:val="0"/>
        </w:rPr>
        <w:t xml:space="preserve">.</w:t>
      </w:r>
    </w:p>
    <w:p w:rsidR="00000000" w:rsidDel="00000000" w:rsidP="00000000" w:rsidRDefault="00000000" w:rsidRPr="00000000" w14:paraId="00000002">
      <w:pPr>
        <w:spacing w:after="0" w:line="240" w:lineRule="auto"/>
        <w:jc w:val="both"/>
        <w:rPr>
          <w:rFonts w:ascii="Arial" w:cs="Arial" w:eastAsia="Arial" w:hAnsi="Arial"/>
          <w:color w:val="000000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both"/>
        <w:rPr>
          <w:rFonts w:ascii="Arial" w:cs="Arial" w:eastAsia="Arial" w:hAnsi="Arial"/>
          <w:color w:val="000000"/>
          <w:sz w:val="25"/>
          <w:szCs w:val="25"/>
        </w:rPr>
      </w:pPr>
      <w:r w:rsidDel="00000000" w:rsidR="00000000" w:rsidRPr="00000000">
        <w:rPr>
          <w:rFonts w:ascii="Arial" w:cs="Arial" w:eastAsia="Arial" w:hAnsi="Arial"/>
          <w:color w:val="000000"/>
          <w:sz w:val="25"/>
          <w:szCs w:val="25"/>
          <w:rtl w:val="0"/>
        </w:rPr>
        <w:t xml:space="preserve">Señores</w:t>
      </w:r>
    </w:p>
    <w:p w:rsidR="00000000" w:rsidDel="00000000" w:rsidP="00000000" w:rsidRDefault="00000000" w:rsidRPr="00000000" w14:paraId="00000004">
      <w:pPr>
        <w:spacing w:after="0" w:line="240" w:lineRule="auto"/>
        <w:jc w:val="both"/>
        <w:rPr>
          <w:rFonts w:ascii="Arial" w:cs="Arial" w:eastAsia="Arial" w:hAnsi="Arial"/>
          <w:color w:val="000000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color w:val="000000"/>
          <w:sz w:val="25"/>
          <w:szCs w:val="25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5"/>
          <w:szCs w:val="25"/>
          <w:rtl w:val="0"/>
        </w:rPr>
        <w:t xml:space="preserve">FOYER DE CHARITE SAN PABLO DE BUCARAMANGA</w:t>
      </w:r>
    </w:p>
    <w:p w:rsidR="00000000" w:rsidDel="00000000" w:rsidP="00000000" w:rsidRDefault="00000000" w:rsidRPr="00000000" w14:paraId="00000006">
      <w:pPr>
        <w:spacing w:after="0" w:line="240" w:lineRule="auto"/>
        <w:jc w:val="both"/>
        <w:rPr>
          <w:rFonts w:ascii="Arial" w:cs="Arial" w:eastAsia="Arial" w:hAnsi="Arial"/>
          <w:color w:val="000000"/>
          <w:sz w:val="25"/>
          <w:szCs w:val="25"/>
        </w:rPr>
      </w:pPr>
      <w:r w:rsidDel="00000000" w:rsidR="00000000" w:rsidRPr="00000000">
        <w:rPr>
          <w:rFonts w:ascii="Arial" w:cs="Arial" w:eastAsia="Arial" w:hAnsi="Arial"/>
          <w:color w:val="000000"/>
          <w:sz w:val="25"/>
          <w:szCs w:val="25"/>
          <w:rtl w:val="0"/>
        </w:rPr>
        <w:t xml:space="preserve">Km. 13 Autopista Vía a Piedecuesta </w:t>
      </w:r>
    </w:p>
    <w:p w:rsidR="00000000" w:rsidDel="00000000" w:rsidP="00000000" w:rsidRDefault="00000000" w:rsidRPr="00000000" w14:paraId="00000007">
      <w:pPr>
        <w:spacing w:after="0" w:line="240" w:lineRule="auto"/>
        <w:jc w:val="both"/>
        <w:rPr>
          <w:rFonts w:ascii="Arial" w:cs="Arial" w:eastAsia="Arial" w:hAnsi="Arial"/>
          <w:color w:val="000000"/>
          <w:sz w:val="25"/>
          <w:szCs w:val="25"/>
        </w:rPr>
      </w:pPr>
      <w:hyperlink r:id="rId7">
        <w:r w:rsidDel="00000000" w:rsidR="00000000" w:rsidRPr="00000000">
          <w:rPr>
            <w:rFonts w:ascii="Arial" w:cs="Arial" w:eastAsia="Arial" w:hAnsi="Arial"/>
            <w:color w:val="0563c1"/>
            <w:sz w:val="25"/>
            <w:szCs w:val="25"/>
            <w:u w:val="single"/>
            <w:rtl w:val="0"/>
          </w:rPr>
          <w:t xml:space="preserve">foyerbucaramanga@yahoo.com</w:t>
        </w:r>
      </w:hyperlink>
      <w:r w:rsidDel="00000000" w:rsidR="00000000" w:rsidRPr="00000000">
        <w:rPr>
          <w:rFonts w:ascii="Arial" w:cs="Arial" w:eastAsia="Arial" w:hAnsi="Arial"/>
          <w:sz w:val="25"/>
          <w:szCs w:val="25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jc w:val="both"/>
        <w:rPr>
          <w:rFonts w:ascii="Arial" w:cs="Arial" w:eastAsia="Arial" w:hAnsi="Arial"/>
          <w:sz w:val="25"/>
          <w:szCs w:val="25"/>
          <w:highlight w:val="white"/>
        </w:rPr>
      </w:pPr>
      <w:r w:rsidDel="00000000" w:rsidR="00000000" w:rsidRPr="00000000">
        <w:rPr>
          <w:rFonts w:ascii="Arial" w:cs="Arial" w:eastAsia="Arial" w:hAnsi="Arial"/>
          <w:sz w:val="25"/>
          <w:szCs w:val="25"/>
          <w:rtl w:val="0"/>
        </w:rPr>
        <w:t xml:space="preserve">3114777355</w:t>
      </w:r>
      <w:r w:rsidDel="00000000" w:rsidR="00000000" w:rsidRPr="00000000">
        <w:rPr>
          <w:rFonts w:ascii="Arial" w:cs="Arial" w:eastAsia="Arial" w:hAnsi="Arial"/>
          <w:sz w:val="25"/>
          <w:szCs w:val="25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0" w:line="240" w:lineRule="auto"/>
        <w:jc w:val="both"/>
        <w:rPr>
          <w:rFonts w:ascii="Arial" w:cs="Arial" w:eastAsia="Arial" w:hAnsi="Arial"/>
          <w:sz w:val="25"/>
          <w:szCs w:val="25"/>
        </w:rPr>
      </w:pPr>
      <w:r w:rsidDel="00000000" w:rsidR="00000000" w:rsidRPr="00000000">
        <w:rPr>
          <w:rFonts w:ascii="Arial" w:cs="Arial" w:eastAsia="Arial" w:hAnsi="Arial"/>
          <w:color w:val="000000"/>
          <w:sz w:val="25"/>
          <w:szCs w:val="25"/>
          <w:highlight w:val="white"/>
          <w:rtl w:val="0"/>
        </w:rPr>
        <w:t xml:space="preserve">Piedecuesta - Santander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ind w:left="1133" w:hanging="1133"/>
        <w:jc w:val="both"/>
        <w:rPr>
          <w:rFonts w:ascii="Arial" w:cs="Arial" w:eastAsia="Arial" w:hAnsi="Arial"/>
          <w:b w:val="1"/>
          <w:bCs w:val="1"/>
          <w:color w:val="000000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ind w:left="1133" w:hanging="1133"/>
        <w:jc w:val="both"/>
        <w:rPr>
          <w:rFonts w:ascii="Arial" w:cs="Arial" w:eastAsia="Arial" w:hAnsi="Arial"/>
          <w:b w:val="1"/>
          <w:bCs w:val="1"/>
          <w:color w:val="000000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ind w:left="1133" w:hanging="1133"/>
        <w:jc w:val="both"/>
        <w:rPr>
          <w:rFonts w:ascii="Arial" w:cs="Arial" w:eastAsia="Arial" w:hAnsi="Arial"/>
          <w:sz w:val="25"/>
          <w:szCs w:val="25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5"/>
          <w:szCs w:val="25"/>
          <w:rtl w:val="0"/>
        </w:rPr>
        <w:t xml:space="preserve">Asunto: </w:t>
        <w:tab/>
      </w:r>
      <w:r w:rsidDel="00000000" w:rsidR="00000000" w:rsidRPr="00000000">
        <w:rPr>
          <w:rFonts w:ascii="Arial" w:cs="Arial" w:eastAsia="Arial" w:hAnsi="Arial"/>
          <w:color w:val="000000"/>
          <w:sz w:val="25"/>
          <w:szCs w:val="25"/>
          <w:rtl w:val="0"/>
        </w:rPr>
        <w:t xml:space="preserve">Solicitud de inscripción al inventario de Bifenilos Policlorados (PCB) e identificación, clasificado y marcado de equipos conforme a las Resoluciones 222 de 2011 y 1741 de 2016.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jc w:val="both"/>
        <w:rPr>
          <w:rFonts w:ascii="Arial" w:cs="Arial" w:eastAsia="Arial" w:hAnsi="Arial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jc w:val="both"/>
        <w:rPr>
          <w:rFonts w:ascii="Arial" w:cs="Arial" w:eastAsia="Arial" w:hAnsi="Arial"/>
          <w:sz w:val="25"/>
          <w:szCs w:val="25"/>
        </w:rPr>
      </w:pPr>
      <w:r w:rsidDel="00000000" w:rsidR="00000000" w:rsidRPr="00000000">
        <w:rPr>
          <w:rFonts w:ascii="Arial" w:cs="Arial" w:eastAsia="Arial" w:hAnsi="Arial"/>
          <w:sz w:val="25"/>
          <w:szCs w:val="25"/>
          <w:rtl w:val="0"/>
        </w:rPr>
        <w:t xml:space="preserve">Cordial saludo </w:t>
      </w:r>
    </w:p>
    <w:p w:rsidR="00000000" w:rsidDel="00000000" w:rsidP="00000000" w:rsidRDefault="00000000" w:rsidRPr="00000000" w14:paraId="0000000F">
      <w:pPr>
        <w:spacing w:after="0" w:line="240" w:lineRule="auto"/>
        <w:jc w:val="both"/>
        <w:rPr>
          <w:rFonts w:ascii="Arial" w:cs="Arial" w:eastAsia="Arial" w:hAnsi="Arial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40" w:lineRule="auto"/>
        <w:jc w:val="both"/>
        <w:rPr>
          <w:rFonts w:ascii="Arial" w:cs="Arial" w:eastAsia="Arial" w:hAnsi="Arial"/>
          <w:sz w:val="25"/>
          <w:szCs w:val="25"/>
        </w:rPr>
      </w:pPr>
      <w:r w:rsidDel="00000000" w:rsidR="00000000" w:rsidRPr="00000000">
        <w:rPr>
          <w:rFonts w:ascii="Arial" w:cs="Arial" w:eastAsia="Arial" w:hAnsi="Arial"/>
          <w:sz w:val="25"/>
          <w:szCs w:val="25"/>
          <w:rtl w:val="0"/>
        </w:rPr>
        <w:t xml:space="preserve">La Corporación Autónoma Regional para la Defensa de la Meseta de Bucaramanga (CDMB), en ejercicio de sus funciones de evaluación, control y seguimiento ambiental, y en concordancia con su política de celeridad en los trámites de ley, se dirige a usted con el fin de requerir información técnica sobre los equipos de transformación eléctrica de su propiedad.</w:t>
      </w:r>
    </w:p>
    <w:p w:rsidR="00000000" w:rsidDel="00000000" w:rsidP="00000000" w:rsidRDefault="00000000" w:rsidRPr="00000000" w14:paraId="00000011">
      <w:pPr>
        <w:spacing w:line="240" w:lineRule="auto"/>
        <w:jc w:val="both"/>
        <w:rPr>
          <w:rFonts w:ascii="Arial" w:cs="Arial" w:eastAsia="Arial" w:hAnsi="Arial"/>
          <w:sz w:val="25"/>
          <w:szCs w:val="25"/>
        </w:rPr>
      </w:pPr>
      <w:r w:rsidDel="00000000" w:rsidR="00000000" w:rsidRPr="00000000">
        <w:rPr>
          <w:rFonts w:ascii="Arial" w:cs="Arial" w:eastAsia="Arial" w:hAnsi="Arial"/>
          <w:sz w:val="25"/>
          <w:szCs w:val="25"/>
          <w:rtl w:val="0"/>
        </w:rPr>
        <w:t xml:space="preserve">Tras realizar un cruce de información con las bases de datos de terceros proporcionadas por la Electrificadora de Santander (ESSA) y contrastarlo con la inspección técnica de campo realizada por la CDMB, se constataron las siguientes novedades: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0"/>
        </w:rPr>
        <w:t xml:space="preserve">Transformador N° 712497: Este equipo figura en los registros de la ESSA como propiedad de su comunidad; sin embargo, durante la visita técnica no fue hallado en el lugar.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720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0"/>
        </w:rPr>
        <w:t xml:space="preserve">Transformador N° 8849757: Durante la diligencia de inspección, se identificó físicamente este equipo en las instalaciones de la Comunidad, el cual no figura en los reportes previos entregados a esta entidad.</w:t>
      </w:r>
    </w:p>
    <w:p w:rsidR="00000000" w:rsidDel="00000000" w:rsidP="00000000" w:rsidRDefault="00000000" w:rsidRPr="00000000" w14:paraId="00000014">
      <w:pPr>
        <w:spacing w:line="240" w:lineRule="auto"/>
        <w:jc w:val="both"/>
        <w:rPr>
          <w:rFonts w:ascii="Arial" w:cs="Arial" w:eastAsia="Arial" w:hAnsi="Arial"/>
          <w:sz w:val="25"/>
          <w:szCs w:val="25"/>
        </w:rPr>
      </w:pPr>
      <w:r w:rsidDel="00000000" w:rsidR="00000000" w:rsidRPr="00000000">
        <w:rPr>
          <w:rFonts w:ascii="Arial" w:cs="Arial" w:eastAsia="Arial" w:hAnsi="Arial"/>
          <w:sz w:val="25"/>
          <w:szCs w:val="25"/>
          <w:rtl w:val="0"/>
        </w:rPr>
        <w:t xml:space="preserve">Al verificar el aplicativo del Inventario Nacional de PCB administrado por el IDEAM, se constató que FOYER DE CHARITE SAN PABLO DE BUCARAMANGA, identificada con NIT 890203815-7, no se encuentra registrado en el Inventario Nacional de PCB, lo cual constituye un incumplimiento a la Resolución 222 de 2011.</w:t>
      </w:r>
    </w:p>
    <w:p w:rsidR="00000000" w:rsidDel="00000000" w:rsidP="00000000" w:rsidRDefault="00000000" w:rsidRPr="00000000" w14:paraId="00000015">
      <w:pPr>
        <w:spacing w:line="240" w:lineRule="auto"/>
        <w:jc w:val="both"/>
        <w:rPr>
          <w:rFonts w:ascii="Arial" w:cs="Arial" w:eastAsia="Arial" w:hAnsi="Arial"/>
          <w:color w:val="000000"/>
          <w:sz w:val="25"/>
          <w:szCs w:val="25"/>
        </w:rPr>
      </w:pPr>
      <w:r w:rsidDel="00000000" w:rsidR="00000000" w:rsidRPr="00000000">
        <w:rPr>
          <w:rFonts w:ascii="Arial" w:cs="Arial" w:eastAsia="Arial" w:hAnsi="Arial"/>
          <w:color w:val="000000"/>
          <w:sz w:val="25"/>
          <w:szCs w:val="25"/>
          <w:rtl w:val="0"/>
        </w:rPr>
        <w:t xml:space="preserve">De conformidad con la Ley 1196 de 2008, mediante la cual se aprueba el Convenio de Estocolmo sobre Contaminantes Orgánicos Persistentes (COP), es necesario implementar medidas orientadas a minimizar los riesgos asociados con el uso, almacenamiento, manipulación y disposición final de equipos, aceites, desechos y suelos contaminados con PCB.</w:t>
      </w:r>
    </w:p>
    <w:p w:rsidR="00000000" w:rsidDel="00000000" w:rsidP="00000000" w:rsidRDefault="00000000" w:rsidRPr="00000000" w14:paraId="00000016">
      <w:pPr>
        <w:spacing w:line="240" w:lineRule="auto"/>
        <w:jc w:val="both"/>
        <w:rPr>
          <w:rFonts w:ascii="Arial" w:cs="Arial" w:eastAsia="Arial" w:hAnsi="Arial"/>
          <w:color w:val="000000"/>
          <w:sz w:val="25"/>
          <w:szCs w:val="25"/>
        </w:rPr>
      </w:pPr>
      <w:r w:rsidDel="00000000" w:rsidR="00000000" w:rsidRPr="00000000">
        <w:rPr>
          <w:rFonts w:ascii="Arial" w:cs="Arial" w:eastAsia="Arial" w:hAnsi="Arial"/>
          <w:color w:val="000000"/>
          <w:sz w:val="25"/>
          <w:szCs w:val="25"/>
          <w:rtl w:val="0"/>
        </w:rPr>
        <w:t xml:space="preserve">En este sentido, los equipos contaminados con PCB pueden afectar el medio ambiente y generar degradación ambiental, dadas sus características de persistencia, toxicidad, bioacumulación, efectos agudos y crónicos en los organismos vivos en el ambiente, si no se gestionan y manejan adecuadamente.</w:t>
      </w:r>
    </w:p>
    <w:p w:rsidR="00000000" w:rsidDel="00000000" w:rsidP="00000000" w:rsidRDefault="00000000" w:rsidRPr="00000000" w14:paraId="00000017">
      <w:pPr>
        <w:spacing w:line="240" w:lineRule="auto"/>
        <w:jc w:val="both"/>
        <w:rPr>
          <w:rFonts w:ascii="Arial" w:cs="Arial" w:eastAsia="Arial" w:hAnsi="Arial"/>
          <w:color w:val="000000"/>
          <w:sz w:val="25"/>
          <w:szCs w:val="25"/>
        </w:rPr>
      </w:pPr>
      <w:r w:rsidDel="00000000" w:rsidR="00000000" w:rsidRPr="00000000">
        <w:rPr>
          <w:rFonts w:ascii="Arial" w:cs="Arial" w:eastAsia="Arial" w:hAnsi="Arial"/>
          <w:color w:val="000000"/>
          <w:sz w:val="25"/>
          <w:szCs w:val="25"/>
          <w:rtl w:val="0"/>
        </w:rPr>
        <w:t xml:space="preserve">Se informa que todos los propietarios de equipos y desechos que contengan PCB deben solicitar su inscripción en el Inventario Nacional de PCB ante esta entidad, a través del siguiente enlace: </w:t>
      </w:r>
      <w:hyperlink r:id="rId8">
        <w:r w:rsidDel="00000000" w:rsidR="00000000" w:rsidRPr="00000000">
          <w:rPr>
            <w:rFonts w:ascii="Arial" w:cs="Arial" w:eastAsia="Arial" w:hAnsi="Arial"/>
            <w:color w:val="0563c1"/>
            <w:sz w:val="25"/>
            <w:szCs w:val="25"/>
            <w:u w:val="single"/>
            <w:rtl w:val="0"/>
          </w:rPr>
          <w:t xml:space="preserve">Inventario de PCB - Inicio (ideam.gov.co)</w:t>
        </w:r>
      </w:hyperlink>
      <w:r w:rsidDel="00000000" w:rsidR="00000000" w:rsidRPr="00000000">
        <w:rPr>
          <w:rFonts w:ascii="Arial" w:cs="Arial" w:eastAsia="Arial" w:hAnsi="Arial"/>
          <w:color w:val="000000"/>
          <w:sz w:val="25"/>
          <w:szCs w:val="25"/>
          <w:rtl w:val="0"/>
        </w:rPr>
        <w:t xml:space="preserve">. Para el registro, se deben tener en cuenta los datos establecidos en el Anexo 1, Sección 1, Capítulo 1 de la Resolución 222 de 2011.</w:t>
      </w:r>
    </w:p>
    <w:p w:rsidR="00000000" w:rsidDel="00000000" w:rsidP="00000000" w:rsidRDefault="00000000" w:rsidRPr="00000000" w14:paraId="00000018">
      <w:pPr>
        <w:spacing w:line="240" w:lineRule="auto"/>
        <w:jc w:val="both"/>
        <w:rPr>
          <w:rFonts w:ascii="Arial" w:cs="Arial" w:eastAsia="Arial" w:hAnsi="Arial"/>
          <w:color w:val="000000"/>
          <w:sz w:val="25"/>
          <w:szCs w:val="25"/>
        </w:rPr>
      </w:pPr>
      <w:r w:rsidDel="00000000" w:rsidR="00000000" w:rsidRPr="00000000">
        <w:rPr>
          <w:rFonts w:ascii="Arial" w:cs="Arial" w:eastAsia="Arial" w:hAnsi="Arial"/>
          <w:color w:val="000000"/>
          <w:sz w:val="25"/>
          <w:szCs w:val="25"/>
          <w:rtl w:val="0"/>
        </w:rPr>
        <w:t xml:space="preserve">Una vez realizada la inscripción, se deberá notificar a esta entidad mediante el formulario de carta de registro, el cual puede descargarse en el aplicativo. A partir de la radicación de dicha carta, la autoridad ambiental contará con un plazo de quince (15) días hábiles para la activación del respectivo usuario.</w:t>
      </w:r>
    </w:p>
    <w:p w:rsidR="00000000" w:rsidDel="00000000" w:rsidP="00000000" w:rsidRDefault="00000000" w:rsidRPr="00000000" w14:paraId="00000019">
      <w:pPr>
        <w:spacing w:line="240" w:lineRule="auto"/>
        <w:jc w:val="both"/>
        <w:rPr>
          <w:rFonts w:ascii="Arial" w:cs="Arial" w:eastAsia="Arial" w:hAnsi="Arial"/>
          <w:sz w:val="25"/>
          <w:szCs w:val="25"/>
        </w:rPr>
      </w:pPr>
      <w:r w:rsidDel="00000000" w:rsidR="00000000" w:rsidRPr="00000000">
        <w:rPr>
          <w:rFonts w:ascii="Arial" w:cs="Arial" w:eastAsia="Arial" w:hAnsi="Arial"/>
          <w:color w:val="000000"/>
          <w:sz w:val="25"/>
          <w:szCs w:val="25"/>
          <w:rtl w:val="0"/>
        </w:rPr>
        <w:t xml:space="preserve">Con el usuario y contraseña asignado y habilitado el propietario deberá diligenciar y actualizar anualmente la información requerida por el inventario de PCB, dentro de los plazos establecidos en el Artículo 16 de la Resolución 222 de 2011, modificado por el Artículo 4 de la Resolución 1741 de 2016, teniendo en cuenta las actualizaciones vigentes para el reporte anual. </w:t>
      </w:r>
      <w:r w:rsidDel="00000000" w:rsidR="00000000" w:rsidRPr="00000000">
        <w:rPr>
          <w:rFonts w:ascii="Arial" w:cs="Arial" w:eastAsia="Arial" w:hAnsi="Arial"/>
          <w:sz w:val="25"/>
          <w:szCs w:val="25"/>
          <w:rtl w:val="0"/>
        </w:rPr>
        <w:t xml:space="preserve">Adicionalmente, deberá identificar, clasificar y marcar su inventario de equipos según lo establecido en la Resolución 222 de 2011 en su capítulo II, conforme al procedimiento definido en los artículos 4, 5, 7 y 8, en concordancia con las directrices técnicas de la Resolución 1741 de 2016. Una vez realizado el paso de identificación, deberá comprobar y acreditar la información ante la entidad ambiental.</w:t>
      </w:r>
    </w:p>
    <w:p w:rsidR="00000000" w:rsidDel="00000000" w:rsidP="00000000" w:rsidRDefault="00000000" w:rsidRPr="00000000" w14:paraId="0000001A">
      <w:pPr>
        <w:spacing w:line="240" w:lineRule="auto"/>
        <w:jc w:val="both"/>
        <w:rPr>
          <w:rFonts w:ascii="Arial" w:cs="Arial" w:eastAsia="Arial" w:hAnsi="Arial"/>
          <w:sz w:val="25"/>
          <w:szCs w:val="25"/>
        </w:rPr>
      </w:pPr>
      <w:r w:rsidDel="00000000" w:rsidR="00000000" w:rsidRPr="00000000">
        <w:rPr>
          <w:rFonts w:ascii="Arial" w:cs="Arial" w:eastAsia="Arial" w:hAnsi="Arial"/>
          <w:sz w:val="25"/>
          <w:szCs w:val="25"/>
          <w:rtl w:val="0"/>
        </w:rPr>
        <w:t xml:space="preserve">Por consiguiente, se solicita que, en un plazo de treinta (30) días calendario contados a partir de la recepción de la presente comunicación, se realicen la inscripción, la gestión del inventario de PCB y la remisión de los soportes correspondientes ante la CDMB. Se advierte que el incumplimiento de este requerimiento podrá dar lugar al inicio de un proceso sancionatorio ambiental, conforme a lo establecido en la Ley 1333 de 2009 y en el régimen procedimental actualizado por la Ley 2387 de 2024.</w:t>
      </w:r>
    </w:p>
    <w:p w:rsidR="00000000" w:rsidDel="00000000" w:rsidP="00000000" w:rsidRDefault="00000000" w:rsidRPr="00000000" w14:paraId="0000001B">
      <w:pPr>
        <w:spacing w:line="240" w:lineRule="auto"/>
        <w:jc w:val="both"/>
        <w:rPr>
          <w:rFonts w:ascii="Arial" w:cs="Arial" w:eastAsia="Arial" w:hAnsi="Arial"/>
          <w:sz w:val="25"/>
          <w:szCs w:val="25"/>
        </w:rPr>
      </w:pPr>
      <w:r w:rsidDel="00000000" w:rsidR="00000000" w:rsidRPr="00000000">
        <w:rPr>
          <w:rFonts w:ascii="Arial" w:cs="Arial" w:eastAsia="Arial" w:hAnsi="Arial"/>
          <w:sz w:val="25"/>
          <w:szCs w:val="25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color w:val="000000"/>
          <w:sz w:val="25"/>
          <w:szCs w:val="25"/>
          <w:rtl w:val="0"/>
        </w:rPr>
        <w:t xml:space="preserve">a CDMB tiene la responsabilidad de garantizar la gestión segura de los PCB, siendo su cumplimiento fundamental para prevenir riesgos de contaminación. Para ello es fundamental contar con la colaboración y el compromiso de todos los propietarios de equipos que contengan PCB. Al no contar con la información se dificulta el seguimiento y control de estos equipos, lo cual puede ocasionar impactos negativos en el entorno natural y en la salud pública.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80" w:before="280" w:line="240" w:lineRule="auto"/>
        <w:jc w:val="both"/>
        <w:rPr>
          <w:rFonts w:ascii="Arial" w:cs="Arial" w:eastAsia="Arial" w:hAnsi="Arial"/>
          <w:sz w:val="25"/>
          <w:szCs w:val="25"/>
        </w:rPr>
      </w:pPr>
      <w:r w:rsidDel="00000000" w:rsidR="00000000" w:rsidRPr="00000000">
        <w:rPr>
          <w:rFonts w:ascii="Arial" w:cs="Arial" w:eastAsia="Arial" w:hAnsi="Arial"/>
          <w:color w:val="000000"/>
          <w:sz w:val="25"/>
          <w:szCs w:val="25"/>
          <w:rtl w:val="0"/>
        </w:rPr>
        <w:t xml:space="preserve">Cualquier duda o inquietud con gusto será atendida en nuestros canales de comunicación institucionales: ventanilla única localizada en la carrera 23 No 37 - 63 Bucaramanga horario de atención 7:30 - 11:45 a.m. y 2:00 - 5:30 p.m. o al correo electrónico institucional </w:t>
      </w:r>
      <w:hyperlink r:id="rId9">
        <w:r w:rsidDel="00000000" w:rsidR="00000000" w:rsidRPr="00000000">
          <w:rPr>
            <w:rFonts w:ascii="Arial" w:cs="Arial" w:eastAsia="Arial" w:hAnsi="Arial"/>
            <w:color w:val="0563c1"/>
            <w:sz w:val="25"/>
            <w:szCs w:val="25"/>
            <w:u w:val="single"/>
            <w:rtl w:val="0"/>
          </w:rPr>
          <w:t xml:space="preserve">info@cdmb.gov.co</w:t>
        </w:r>
      </w:hyperlink>
      <w:r w:rsidDel="00000000" w:rsidR="00000000" w:rsidRPr="00000000">
        <w:rPr>
          <w:rFonts w:ascii="Arial" w:cs="Arial" w:eastAsia="Arial" w:hAnsi="Arial"/>
          <w:color w:val="000000"/>
          <w:sz w:val="25"/>
          <w:szCs w:val="25"/>
          <w:rtl w:val="0"/>
        </w:rPr>
        <w:t xml:space="preserve">  PBX: (607) 6970241- Línea Gratuita: 018000180527.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240" w:lineRule="auto"/>
        <w:jc w:val="both"/>
        <w:rPr>
          <w:rFonts w:ascii="Arial" w:cs="Arial" w:eastAsia="Arial" w:hAnsi="Arial"/>
          <w:sz w:val="25"/>
          <w:szCs w:val="25"/>
        </w:rPr>
      </w:pPr>
      <w:r w:rsidDel="00000000" w:rsidR="00000000" w:rsidRPr="00000000">
        <w:rPr>
          <w:rFonts w:ascii="Arial" w:cs="Arial" w:eastAsia="Arial" w:hAnsi="Arial"/>
          <w:color w:val="000000"/>
          <w:sz w:val="25"/>
          <w:szCs w:val="25"/>
          <w:rtl w:val="0"/>
        </w:rPr>
        <w:t xml:space="preserve">Atentamente</w:t>
      </w:r>
      <w:r w:rsidDel="00000000" w:rsidR="00000000" w:rsidRPr="00000000">
        <w:rPr>
          <w:rFonts w:ascii="Arial" w:cs="Arial" w:eastAsia="Arial" w:hAnsi="Arial"/>
          <w:sz w:val="25"/>
          <w:szCs w:val="25"/>
          <w:rtl w:val="0"/>
        </w:rPr>
        <w:t xml:space="preserve">.</w:t>
      </w:r>
    </w:p>
    <w:p w:rsidR="00000000" w:rsidDel="00000000" w:rsidP="00000000" w:rsidRDefault="00000000" w:rsidRPr="00000000" w14:paraId="0000001E">
      <w:pPr>
        <w:spacing w:after="240" w:line="240" w:lineRule="auto"/>
        <w:rPr>
          <w:rFonts w:ascii="Arial" w:cs="Arial" w:eastAsia="Arial" w:hAnsi="Arial"/>
          <w:sz w:val="25"/>
          <w:szCs w:val="25"/>
        </w:rPr>
      </w:pPr>
      <w:r w:rsidDel="00000000" w:rsidR="00000000" w:rsidRPr="00000000">
        <w:rPr>
          <w:rFonts w:ascii="Arial" w:cs="Arial" w:eastAsia="Arial" w:hAnsi="Arial"/>
          <w:sz w:val="25"/>
          <w:szCs w:val="25"/>
          <w:rtl w:val="0"/>
        </w:rPr>
        <w:br w:type="textWrapping"/>
      </w:r>
    </w:p>
    <w:p w:rsidR="00000000" w:rsidDel="00000000" w:rsidP="00000000" w:rsidRDefault="00000000" w:rsidRPr="00000000" w14:paraId="0000001F">
      <w:pPr>
        <w:spacing w:after="0" w:line="240" w:lineRule="auto"/>
        <w:jc w:val="both"/>
        <w:rPr>
          <w:rFonts w:ascii="Arial" w:cs="Arial" w:eastAsia="Arial" w:hAnsi="Arial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tabs>
          <w:tab w:val="left" w:leader="none" w:pos="8340"/>
        </w:tabs>
        <w:spacing w:after="0" w:line="240" w:lineRule="auto"/>
        <w:jc w:val="both"/>
        <w:rPr>
          <w:rFonts w:ascii="Arial" w:cs="Arial" w:eastAsia="Arial" w:hAnsi="Arial"/>
          <w:b w:val="1"/>
          <w:bCs w:val="1"/>
          <w:sz w:val="25"/>
          <w:szCs w:val="25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Nelson Andrés Chang Pérez</w:t>
      </w:r>
      <w:r w:rsidDel="00000000" w:rsidR="00000000" w:rsidRPr="00000000">
        <w:rPr>
          <w:rFonts w:ascii="Arial" w:cs="Arial" w:eastAsia="Arial" w:hAnsi="Arial"/>
          <w:b w:val="1"/>
          <w:bCs w:val="1"/>
          <w:sz w:val="25"/>
          <w:szCs w:val="25"/>
          <w:rtl w:val="0"/>
        </w:rPr>
        <w:tab/>
      </w:r>
    </w:p>
    <w:p w:rsidR="00000000" w:rsidDel="00000000" w:rsidP="00000000" w:rsidRDefault="00000000" w:rsidRPr="00000000" w14:paraId="00000021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25"/>
          <w:szCs w:val="25"/>
        </w:rPr>
      </w:pPr>
      <w:r w:rsidDel="00000000" w:rsidR="00000000" w:rsidRPr="00000000">
        <w:rPr>
          <w:rFonts w:ascii="Arial" w:cs="Arial" w:eastAsia="Arial" w:hAnsi="Arial"/>
          <w:sz w:val="25"/>
          <w:szCs w:val="25"/>
          <w:rtl w:val="0"/>
        </w:rPr>
        <w:t xml:space="preserve">Subdirector de Evaluación y Control Ambiental (E)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line="240" w:lineRule="auto"/>
        <w:jc w:val="both"/>
        <w:rPr>
          <w:rFonts w:ascii="Arial" w:cs="Arial" w:eastAsia="Arial" w:hAnsi="Arial"/>
          <w:sz w:val="16"/>
          <w:szCs w:val="16"/>
        </w:rPr>
      </w:pPr>
      <w:bookmarkStart w:colFirst="0" w:colLast="0" w:name="_heading=h.4p9qkzh2cdr5" w:id="0"/>
      <w:bookmarkEnd w:id="0"/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Anexo: Un (01) folio Hoja de visita realizada el 9/04/2026</w:t>
      </w:r>
    </w:p>
    <w:p w:rsidR="00000000" w:rsidDel="00000000" w:rsidP="00000000" w:rsidRDefault="00000000" w:rsidRPr="00000000" w14:paraId="00000024">
      <w:pPr>
        <w:spacing w:after="0" w:lin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5127047</wp:posOffset>
            </wp:positionH>
            <wp:positionV relativeFrom="paragraph">
              <wp:posOffset>180340</wp:posOffset>
            </wp:positionV>
            <wp:extent cx="884555" cy="229870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884555" cy="22987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tbl>
      <w:tblPr>
        <w:tblStyle w:val="Table1"/>
        <w:tblW w:w="9436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402"/>
        <w:gridCol w:w="2655"/>
        <w:gridCol w:w="4018"/>
        <w:gridCol w:w="1361"/>
        <w:tblGridChange w:id="0">
          <w:tblGrid>
            <w:gridCol w:w="1402"/>
            <w:gridCol w:w="2655"/>
            <w:gridCol w:w="4018"/>
            <w:gridCol w:w="1361"/>
          </w:tblGrid>
        </w:tblGridChange>
      </w:tblGrid>
      <w:tr>
        <w:trPr>
          <w:cantSplit w:val="0"/>
          <w:trHeight w:val="191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spacing w:after="0" w:line="240" w:lineRule="auto"/>
              <w:ind w:left="107" w:firstLine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Proyectó: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spacing w:after="0" w:line="240" w:lineRule="auto"/>
              <w:ind w:left="107" w:firstLine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Juan David Niño Lizcano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7">
            <w:pPr>
              <w:widowControl w:val="0"/>
              <w:spacing w:after="0" w:line="240" w:lineRule="auto"/>
              <w:ind w:left="108" w:firstLine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Ingeniero Químico, Contratista CPS-SEYCA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8">
            <w:pPr>
              <w:spacing w:after="0" w:line="240" w:lineRule="auto"/>
              <w:jc w:val="both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2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spacing w:after="0" w:line="240" w:lineRule="auto"/>
              <w:ind w:left="107" w:firstLine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Revisó: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spacing w:after="0" w:line="240" w:lineRule="auto"/>
              <w:ind w:left="107" w:firstLine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Adriana del Pilar Córdoba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spacing w:after="0" w:line="240" w:lineRule="auto"/>
              <w:ind w:left="108" w:firstLine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Profesional Universitario SEYCA 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C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1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spacing w:after="0" w:line="240" w:lineRule="auto"/>
              <w:ind w:left="107" w:firstLine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Revisó: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spacing w:after="0" w:line="240" w:lineRule="auto"/>
              <w:ind w:left="107" w:firstLine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Nelson Andrés Chang Pérez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spacing w:after="0" w:line="240" w:lineRule="auto"/>
              <w:ind w:left="108" w:firstLine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Coordinador Grupo Evaluación Ambiental para la Sostenibilidad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0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spacing w:after="0" w:line="240" w:lineRule="auto"/>
              <w:ind w:left="107" w:firstLine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Dependencia responsable: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033">
            <w:pPr>
              <w:widowControl w:val="0"/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Subdirección de Evaluación y Control Ambiental – SEYCA</w:t>
            </w:r>
          </w:p>
        </w:tc>
      </w:tr>
    </w:tbl>
    <w:p w:rsidR="00000000" w:rsidDel="00000000" w:rsidP="00000000" w:rsidRDefault="00000000" w:rsidRPr="00000000" w14:paraId="00000036">
      <w:pPr>
        <w:spacing w:after="0" w:line="240" w:lineRule="auto"/>
        <w:jc w:val="center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8"/>
          <w:szCs w:val="28"/>
        </w:rPr>
        <w:drawing>
          <wp:inline distB="0" distT="0" distL="0" distR="0">
            <wp:extent cx="5025390" cy="7475220"/>
            <wp:effectExtent b="0" l="0" r="0" t="0"/>
            <wp:docPr id="3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1"/>
                    <a:srcRect b="9474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025390" cy="747522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pgSz w:h="15840" w:w="12240" w:orient="portrait"/>
      <w:pgMar w:bottom="1418" w:top="1418" w:left="1418" w:right="1418" w:header="1588" w:footer="175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-1000106</wp:posOffset>
          </wp:positionH>
          <wp:positionV relativeFrom="paragraph">
            <wp:posOffset>47625</wp:posOffset>
          </wp:positionV>
          <wp:extent cx="7836942" cy="1313747"/>
          <wp:effectExtent b="0" l="0" r="0" t="0"/>
          <wp:wrapNone/>
          <wp:docPr id="2" name="image4.jpg"/>
          <a:graphic>
            <a:graphicData uri="http://schemas.openxmlformats.org/drawingml/2006/picture">
              <pic:pic>
                <pic:nvPicPr>
                  <pic:cNvPr id="0" name="image4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836942" cy="1313747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-890887</wp:posOffset>
          </wp:positionH>
          <wp:positionV relativeFrom="paragraph">
            <wp:posOffset>-1011537</wp:posOffset>
          </wp:positionV>
          <wp:extent cx="7711392" cy="1116000"/>
          <wp:effectExtent b="0" l="0" r="0" t="0"/>
          <wp:wrapNone/>
          <wp:docPr id="4" name="image3.jpg"/>
          <a:graphic>
            <a:graphicData uri="http://schemas.openxmlformats.org/drawingml/2006/picture">
              <pic:pic>
                <pic:nvPicPr>
                  <pic:cNvPr id="0" name="image3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11392" cy="111600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607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3" Type="http://schemas.openxmlformats.org/officeDocument/2006/relationships/footer" Target="footer1.xml"/><Relationship Id="rId12" Type="http://schemas.openxmlformats.org/officeDocument/2006/relationships/header" Target="header1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info@cdmb.gov.co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foyerbucaramanga@yahoo.com" TargetMode="External"/><Relationship Id="rId8" Type="http://schemas.openxmlformats.org/officeDocument/2006/relationships/hyperlink" Target="http://pcb.ideam.gov.co/pcb/#:~:text=Adscrito%20al%20Ministerio%20de%20Ambiente%20y%20Desarrollo%20Sostenible%20de%20Colombia.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xCf8/vOqb7MnirQFun+6GTkCtUA==">CgMxLjAyDmguNHA5cWt6aDJjZHI1OAByITF6dzYzSGlsMnhab0pzMGRHZUhVMHlpd1RVUk54STlaXw==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lpwstr>1500762691</vt:lpwstr>
  </property>
  <property fmtid="{D5CDD505-2E9C-101B-9397-08002B2CF9AE}" pid="3" name="ContentTypeId">
    <vt:lpwstr>0x010100E1A95D0868D11541A321B5EC8243FA44</vt:lpwstr>
  </property>
</Properties>
</file>